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statistical frameworks to forecast customer churn and loan default risk, evaluating model performance via root mean square error (RMSE) and accuracy metrics.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to validate marketing campaign hypotheses, directly measuring the impact of customer segmentation strategies on conversion rates.</w:t>
        <w:br/>
      </w:r>
    </w:p>
    <w:p>
      <w:r>
        <w:rPr>
          <w:rFonts w:ascii="Times New Roman" w:hAnsi="Times New Roman"/>
          <w:sz w:val="20"/>
        </w:rPr>
        <w:br/>
        <w:t>• Led cross-functional strategy initiatives by synthesizing complex data sets into actionable business intelligence, mirroring a consultative approach to optimizing operational performance.</w:t>
        <w:br/>
      </w:r>
    </w:p>
    <w:p>
      <w:r>
        <w:rPr>
          <w:rFonts w:ascii="Times New Roman" w:hAnsi="Times New Roman"/>
          <w:sz w:val="20"/>
        </w:rPr>
        <w:br/>
        <w:t>• Applied advanced statistical modeling techniques to identify historical trend patterns, enabling more accurate projections for future organizational growth and risk exposure.</w:t>
        <w:br/>
      </w:r>
    </w:p>
    <w:p>
      <w:r>
        <w:rPr>
          <w:rFonts w:ascii="Times New Roman" w:hAnsi="Times New Roman"/>
          <w:sz w:val="20"/>
        </w:rPr>
        <w:br/>
        <w:t>• Utilized data storytelling techniques to present analytical findings to executive stakeholders, translating complex statistical results into clear strategic roadmaps and business recommendations.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