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within microservices architectures, ensuring data integrity and alignment with SDLC best practices while improving reconciliation accuracy by 30%.</w:t>
        <w:br/>
      </w:r>
    </w:p>
    <w:p>
      <w:r>
        <w:rPr>
          <w:rFonts w:ascii="Times New Roman" w:hAnsi="Times New Roman"/>
          <w:sz w:val="20"/>
        </w:rPr>
        <w:br/>
        <w:t>• Collaborated on audit-readiness and technical documentation for SOX compliance, mapping system controls to financial reporting requirements and improving project delivery timelines by 25%.</w:t>
        <w:br/>
      </w:r>
    </w:p>
    <w:p>
      <w:r>
        <w:rPr>
          <w:rFonts w:ascii="Times New Roman" w:hAnsi="Times New Roman"/>
          <w:sz w:val="20"/>
        </w:rPr>
        <w:br/>
        <w:t>• Developed internal productivity tools using generative AI models and coding assistants like Cursor and Claude to automate routine data testing and streamline risk management workflows.</w:t>
        <w:br/>
      </w:r>
    </w:p>
    <w:p>
      <w:r>
        <w:rPr>
          <w:rFonts w:ascii="Times New Roman" w:hAnsi="Times New Roman"/>
          <w:sz w:val="20"/>
        </w:rPr>
        <w:br/>
        <w:t>• Integrated AI-powered agents to monitor operational risks, effectively performing control testing to identify potential process bottlenecks and systemic inefficiencies.</w:t>
        <w:br/>
      </w:r>
    </w:p>
    <w:p>
      <w:r>
        <w:rPr>
          <w:rFonts w:ascii="Times New Roman" w:hAnsi="Times New Roman"/>
          <w:sz w:val="20"/>
        </w:rPr>
        <w:br/>
        <w:t>• Engineered scalable data pipelines for high-volume environments, applying technical risk assessment frameworks to ensure reliability and auditability across product lifecycles.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