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Drafted and proofread comprehensive SOPs and user guides using Confluence, ensuring technical clarity and consistency for cross-functional stakeholders—a process similar to utilizing Tettra for knowledge management.</w:t>
        <w:br/>
      </w:r>
    </w:p>
    <w:p>
      <w:r>
        <w:rPr>
          <w:rFonts w:ascii="Times New Roman" w:hAnsi="Times New Roman"/>
          <w:sz w:val="20"/>
        </w:rPr>
        <w:br/>
        <w:t>• Leveraged strong analytical skills to perform root-cause analysis on software defects, documenting findings in JIRA to assist the development team in rapid troubleshooting.</w:t>
        <w:br/>
      </w:r>
    </w:p>
    <w:p>
      <w:r>
        <w:rPr>
          <w:rFonts w:ascii="Times New Roman" w:hAnsi="Times New Roman"/>
          <w:sz w:val="20"/>
        </w:rPr>
        <w:br/>
        <w:t>• Utilized excellent relationship management skills to bridge communication gaps between technical teams and non-technical end users, ensuring software documentation aligns with real-world operational needs.</w:t>
        <w:br/>
      </w:r>
    </w:p>
    <w:p>
      <w:r>
        <w:rPr>
          <w:rFonts w:ascii="Times New Roman" w:hAnsi="Times New Roman"/>
          <w:sz w:val="20"/>
        </w:rPr>
        <w:br/>
        <w:t>• Demonstrated a quick-learning aptitude by independently mastering new internal data systems and troubleshooting protocols, maintaining high performance in fast-paced, evolving environments.</w:t>
        <w:br/>
      </w:r>
    </w:p>
    <w:p>
      <w:r>
        <w:rPr>
          <w:rFonts w:ascii="Times New Roman" w:hAnsi="Times New Roman"/>
          <w:sz w:val="20"/>
        </w:rPr>
        <w:br/>
        <w:t>• Leveraged background in Computer Science to analyze technical specifications, documenting system impacts and troubleshooting steps to optimize internal workflows and client support.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