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stakeholders to define data governance protocols and lineage documentation, ensuring consistent data quality and regulatory compliance for underwriting datasets.</w:t>
        <w:br/>
      </w:r>
    </w:p>
    <w:p>
      <w:r>
        <w:rPr>
          <w:rFonts w:ascii="Times New Roman" w:hAnsi="Times New Roman"/>
          <w:sz w:val="20"/>
        </w:rPr>
        <w:br/>
        <w:t>• Applied predictive modeling techniques using Python to forecast customer churn and insurance risk factors, directly informing portfolio management and capital allocation strategies.</w:t>
        <w:br/>
      </w:r>
    </w:p>
    <w:p>
      <w:r>
        <w:rPr>
          <w:rFonts w:ascii="Times New Roman" w:hAnsi="Times New Roman"/>
          <w:sz w:val="20"/>
        </w:rPr>
        <w:br/>
        <w:t>• Leveraged foundational knowledge of insurance data structures to perform ad-hoc analysis on policy performance, supporting strategic planning and business unit reviews.</w:t>
        <w:br/>
      </w:r>
    </w:p>
    <w:p>
      <w:r>
        <w:rPr>
          <w:rFonts w:ascii="Times New Roman" w:hAnsi="Times New Roman"/>
          <w:sz w:val="20"/>
        </w:rPr>
        <w:br/>
        <w:t>• Developed automated reporting workflows for recurring insurance KPIs, utilizing R and Python to streamline data validation and improve the integrity of financial management information (MI).</w:t>
        <w:br/>
      </w:r>
    </w:p>
    <w:p>
      <w:r>
        <w:rPr>
          <w:rFonts w:ascii="Times New Roman" w:hAnsi="Times New Roman"/>
          <w:sz w:val="20"/>
        </w:rPr>
        <w:br/>
        <w:t>• Partnered with project teams to translate complex regulatory requirements into structured data models, facilitating reliable reporting for internal audits and management review.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