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ELT pipelines in Python and SQL to ingest and structure heterogeneous datasets, including demographic profiles and census statistics, ensuring data readiness for predictive modeling.</w:t>
        <w:br/>
      </w:r>
    </w:p>
    <w:p>
      <w:r>
        <w:rPr>
          <w:rFonts w:ascii="Times New Roman" w:hAnsi="Times New Roman"/>
          <w:sz w:val="20"/>
        </w:rPr>
        <w:br/>
        <w:t>• Engineered data quality validation systems using Great Expectations to monitor for missing values, applying imputation techniques to ensure completeness in sparse or irregular datasets.</w:t>
        <w:br/>
      </w:r>
    </w:p>
    <w:p>
      <w:r>
        <w:rPr>
          <w:rFonts w:ascii="Times New Roman" w:hAnsi="Times New Roman"/>
          <w:sz w:val="20"/>
        </w:rPr>
        <w:br/>
        <w:t>• Leveraged SQL for data manipulation across both OLTP systems and analytical databases, optimizing schema design to improve query performance for complex simulation inputs.</w:t>
        <w:br/>
      </w:r>
    </w:p>
    <w:p>
      <w:r>
        <w:rPr>
          <w:rFonts w:ascii="Times New Roman" w:hAnsi="Times New Roman"/>
          <w:sz w:val="20"/>
        </w:rPr>
        <w:br/>
        <w:t>• Integrated web-scraped and proprietary datasets into centralized warehouses, performing data enrichment by joining disparate sources to support cross-functional research and simulation accuracy.</w:t>
        <w:br/>
      </w:r>
    </w:p>
    <w:p>
      <w:r>
        <w:rPr>
          <w:rFonts w:ascii="Times New Roman" w:hAnsi="Times New Roman"/>
          <w:sz w:val="20"/>
        </w:rPr>
        <w:br/>
        <w:t>• Applied geospatial logic and coordinate processing to map and analyze location-level datasets, enabling trade area analysis and demographic correlation in previous data initiatives.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