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recruitment data and survey responses from CRM systems to identify participant outcomes, streamlining documentation processes for workforce development initiatives.</w:t>
        <w:br/>
      </w:r>
    </w:p>
    <w:p>
      <w:r>
        <w:rPr>
          <w:rFonts w:ascii="Times New Roman" w:hAnsi="Times New Roman"/>
          <w:sz w:val="20"/>
        </w:rPr>
        <w:br/>
        <w:t>• Applied statistical modeling techniques to analyze assessment results and training participation metrics, identifying key trends in learner engagement and performance.</w:t>
        <w:br/>
      </w:r>
    </w:p>
    <w:p>
      <w:r>
        <w:rPr>
          <w:rFonts w:ascii="Times New Roman" w:hAnsi="Times New Roman"/>
          <w:sz w:val="20"/>
        </w:rPr>
        <w:br/>
        <w:t>• Collaborated on technical projects involving infrastructure security datasets, applying rigorous data cleaning and analysis to support cybersecurity research objectives.</w:t>
        <w:br/>
      </w:r>
    </w:p>
    <w:p>
      <w:r>
        <w:rPr>
          <w:rFonts w:ascii="Times New Roman" w:hAnsi="Times New Roman"/>
          <w:sz w:val="20"/>
        </w:rPr>
        <w:br/>
        <w:t>• Developed automated reporting dashboards to track recruitment funnels and program impact, ensuring project stakeholders had real-time visibility into training progress.</w:t>
        <w:br/>
      </w:r>
    </w:p>
    <w:p>
      <w:r>
        <w:rPr>
          <w:rFonts w:ascii="Times New Roman" w:hAnsi="Times New Roman"/>
          <w:sz w:val="20"/>
        </w:rPr>
        <w:br/>
        <w:t>• Leveraged advanced analytical frameworks to interpret survey data, translating complex educational outcomes into actionable insights for regional training improvement.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