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and implemented event tracking schemas and end-to-end data pipelines to monitor buyer LTV, GMV, and cohort retention, ensuring granular visibility into marketplace health.</w:t>
        <w:br/>
      </w:r>
    </w:p>
    <w:p>
      <w:r>
        <w:rPr>
          <w:rFonts w:ascii="Times New Roman" w:hAnsi="Times New Roman"/>
          <w:sz w:val="20"/>
        </w:rPr>
        <w:br/>
        <w:t>• Engineered Python-based web scraping solutions using scraping infrastructure (similar to Outscraper) to aggregate and enrich off-price market data for competitive teardowns and brand health analysis.</w:t>
        <w:br/>
      </w:r>
    </w:p>
    <w:p>
      <w:r>
        <w:rPr>
          <w:rFonts w:ascii="Times New Roman" w:hAnsi="Times New Roman"/>
          <w:sz w:val="20"/>
        </w:rPr>
        <w:br/>
        <w:t>• Defined and tracked core marketplace KPIs including take rate, seller productivity, and event economics to support leadership in optimizing operational strategy.</w:t>
        <w:br/>
      </w:r>
    </w:p>
    <w:p>
      <w:r>
        <w:rPr>
          <w:rFonts w:ascii="Times New Roman" w:hAnsi="Times New Roman"/>
          <w:sz w:val="20"/>
        </w:rPr>
        <w:br/>
        <w:t>• Authored data-driven market reports and industry insights, transforming complex quantitative research into accessible narratives for stakeholders and internal strategy planning.</w:t>
        <w:br/>
      </w:r>
    </w:p>
    <w:p>
      <w:r>
        <w:rPr>
          <w:rFonts w:ascii="Times New Roman" w:hAnsi="Times New Roman"/>
          <w:sz w:val="20"/>
        </w:rPr>
        <w:br/>
        <w:t>• Integrated multi-source data environments—including PostgreSQL and external APIs—to build a unified analytics foundation suitable for scaling event-based commerce platforms.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