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cross-functionally with Underwriting and Product teams to deploy AI-enabled solutions, ensuring platform features directly addressed enterprise-scale business needs.</w:t>
        <w:br/>
      </w:r>
    </w:p>
    <w:p>
      <w:r>
        <w:rPr>
          <w:rFonts w:ascii="Times New Roman" w:hAnsi="Times New Roman"/>
          <w:sz w:val="20"/>
        </w:rPr>
        <w:br/>
        <w:t>• Managed client-facing relationships as an Operations Lead, translating data workflows into actionable SaaS-based improvements that increased customer acquisition by 300%.</w:t>
        <w:br/>
      </w:r>
    </w:p>
    <w:p>
      <w:r>
        <w:rPr>
          <w:rFonts w:ascii="Times New Roman" w:hAnsi="Times New Roman"/>
          <w:sz w:val="20"/>
        </w:rPr>
        <w:br/>
        <w:t>• Partnered with stakeholders to integrate enterprise software APIs, streamlining data pipeline reliability and enhancing the overall value of our data-driven products.</w:t>
        <w:br/>
      </w:r>
    </w:p>
    <w:p>
      <w:r>
        <w:rPr>
          <w:rFonts w:ascii="Times New Roman" w:hAnsi="Times New Roman"/>
          <w:sz w:val="20"/>
        </w:rPr>
        <w:br/>
        <w:t>• Led technical implementation and operational strategies, leveraging AI-powered tools to optimize data modeling and bridge the gap between complex engineering and end-user business requirements.</w:t>
        <w:br/>
      </w:r>
    </w:p>
    <w:p>
      <w:r>
        <w:rPr>
          <w:rFonts w:ascii="Times New Roman" w:hAnsi="Times New Roman"/>
          <w:sz w:val="20"/>
        </w:rPr>
        <w:br/>
        <w:t>• Cultivated strong relationships with clients to understand their operational challenges, providing strategic guidance on utilizing data analytics tools to drive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