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marketing performance by tracking CAC, LTV, and conversion rates across paid media campaigns, utilizing Google Sheets and SQL to identify key growth loops.</w:t>
        <w:br/>
      </w:r>
    </w:p>
    <w:p>
      <w:r>
        <w:rPr>
          <w:rFonts w:ascii="Times New Roman" w:hAnsi="Times New Roman"/>
          <w:sz w:val="20"/>
        </w:rPr>
        <w:br/>
        <w:t>• Led A/B testing initiatives and multi-touch attribution analysis to evaluate channel ROI, resulting in refined budget allocation strategies.</w:t>
        <w:br/>
      </w:r>
    </w:p>
    <w:p>
      <w:r>
        <w:rPr>
          <w:rFonts w:ascii="Times New Roman" w:hAnsi="Times New Roman"/>
          <w:sz w:val="20"/>
        </w:rPr>
        <w:br/>
        <w:t>• Engineered custom AI workflows by leveraging Claude APIs and prompt engineering to automate real-time CRM performance monitoring and extraction of consumer insights.</w:t>
        <w:br/>
      </w:r>
    </w:p>
    <w:p>
      <w:r>
        <w:rPr>
          <w:rFonts w:ascii="Times New Roman" w:hAnsi="Times New Roman"/>
          <w:sz w:val="20"/>
        </w:rPr>
        <w:br/>
        <w:t>• Acted as the lead analytics bridge for external SEO agencies, utilizing Google Search Console data to validate performance metrics against internal databases.</w:t>
        <w:br/>
      </w:r>
    </w:p>
    <w:p>
      <w:r>
        <w:rPr>
          <w:rFonts w:ascii="Times New Roman" w:hAnsi="Times New Roman"/>
          <w:sz w:val="20"/>
        </w:rPr>
        <w:br/>
        <w:t>• Designed and maintained automated Marketing Mix Modeling (MMM) frameworks and real-time dashboards to provide the growth team with granular visibility into campaign effectiveness.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