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backend services and APIs using Python, demonstrating foundational skills for enabling data access for AI applications.</w:t>
        <w:br/>
      </w:r>
    </w:p>
    <w:p>
      <w:r>
        <w:rPr>
          <w:rFonts w:ascii="Times New Roman" w:hAnsi="Times New Roman"/>
          <w:sz w:val="20"/>
        </w:rPr>
        <w:br/>
        <w:t>• Built AI agents using LangGraph to orchestrate complex workflows and facilitate the development of AI-driven solutions.</w:t>
        <w:br/>
      </w:r>
    </w:p>
    <w:p>
      <w:r>
        <w:rPr>
          <w:rFonts w:ascii="Times New Roman" w:hAnsi="Times New Roman"/>
          <w:sz w:val="20"/>
        </w:rPr>
        <w:br/>
        <w:t>• Implemented Retrieval Augmented Generation (RAG) pipelines and Text-to-SQL systems to enhance data interaction and AI model performance.</w:t>
        <w:br/>
      </w:r>
    </w:p>
    <w:p>
      <w:r>
        <w:rPr>
          <w:rFonts w:ascii="Times New Roman" w:hAnsi="Times New Roman"/>
          <w:sz w:val="20"/>
        </w:rPr>
        <w:br/>
        <w:t>• Designed and deployed ELT pipelines for ingesting Federal Reserve economic data into Google BigQuery, integrating structured and unstructured data and laying the groundwork for Generative AI applications.</w:t>
        <w:br/>
      </w:r>
    </w:p>
    <w:p>
      <w:r>
        <w:rPr>
          <w:rFonts w:ascii="Times New Roman" w:hAnsi="Times New Roman"/>
          <w:sz w:val="20"/>
        </w:rPr>
        <w:br/>
        <w:t>• Collaborated with stakeholders and translated user feedback into production code, gaining experience in aligning software features with business processes, which directly supports the collaborative nature of enabling LLM-powered applications.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