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for customer segmentation using scikit-learn and Python, improving marketing acquisition efficiency by 300%.</w:t>
        <w:br/>
      </w:r>
    </w:p>
    <w:p>
      <w:r>
        <w:rPr>
          <w:rFonts w:ascii="Times New Roman" w:hAnsi="Times New Roman"/>
          <w:sz w:val="20"/>
        </w:rPr>
        <w:br/>
        <w:t>• Deployed and evaluated machine learning models for loan default risk, utilizing feature engineering techniques to optimize accuracy and scalability of the portfolio analysis.</w:t>
        <w:br/>
      </w:r>
    </w:p>
    <w:p>
      <w:r>
        <w:rPr>
          <w:rFonts w:ascii="Times New Roman" w:hAnsi="Times New Roman"/>
          <w:sz w:val="20"/>
        </w:rPr>
        <w:br/>
        <w:t>• Engineered end-to-end data pipelines for AI model ingestion, ensuring high data quality and consistency by automating validation checks.</w:t>
        <w:br/>
      </w:r>
    </w:p>
    <w:p>
      <w:r>
        <w:rPr>
          <w:rFonts w:ascii="Times New Roman" w:hAnsi="Times New Roman"/>
          <w:sz w:val="20"/>
        </w:rPr>
        <w:br/>
        <w:t>• Collaborated with cross-functional data science teams to translate business requirements into technical AI/ML project plans, ensuring alignment with stakeholder goals.</w:t>
        <w:br/>
      </w:r>
    </w:p>
    <w:p>
      <w:r>
        <w:rPr>
          <w:rFonts w:ascii="Times New Roman" w:hAnsi="Times New Roman"/>
          <w:sz w:val="20"/>
        </w:rPr>
        <w:br/>
        <w:t>• Optimized model performance by conducting rigorous evaluation and testing, ensuring AI solutions remained scalable within high-frequency financial data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