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(CTEs, window functions, joins) in PostgreSQL and Snowflake, ensuring high performance and data normalization to improve data accuracy by 30%.</w:t>
        <w:br/>
      </w:r>
    </w:p>
    <w:p>
      <w:r>
        <w:rPr>
          <w:rFonts w:ascii="Times New Roman" w:hAnsi="Times New Roman"/>
          <w:sz w:val="20"/>
        </w:rPr>
        <w:br/>
        <w:t>• Applied advanced data modeling principles to transform raw loan data into Snowflake-ready dimensional models, ensuring scalability and consistency for analytics reporting.</w:t>
        <w:br/>
      </w:r>
    </w:p>
    <w:p>
      <w:r>
        <w:rPr>
          <w:rFonts w:ascii="Times New Roman" w:hAnsi="Times New Roman"/>
          <w:sz w:val="20"/>
        </w:rPr>
        <w:br/>
        <w:t>• Utilized Git for rigorous version control, managing collaborative code updates and data model documentation to ensure project stability and seamless production deployments.</w:t>
        <w:br/>
      </w:r>
    </w:p>
    <w:p>
      <w:r>
        <w:rPr>
          <w:rFonts w:ascii="Times New Roman" w:hAnsi="Times New Roman"/>
          <w:sz w:val="20"/>
        </w:rPr>
        <w:br/>
        <w:t>• Leveraged experience in cloud-based BI environments to build and troubleshoot complex data apps, bridging the gap between raw cloud warehouse data and actionable stakeholder insights.</w:t>
        <w:br/>
      </w:r>
    </w:p>
    <w:p>
      <w:r>
        <w:rPr>
          <w:rFonts w:ascii="Times New Roman" w:hAnsi="Times New Roman"/>
          <w:sz w:val="20"/>
        </w:rPr>
        <w:br/>
        <w:t>• Applied performance optimization techniques to complex SQL queries and BI workflows, significantly reducing latency in production reporting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