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Refactored Python-based data processing scripts to utilize PySpark for distributed computing, enabling efficient handling of large-scale datasets beyond local memory capacity.</w:t>
        <w:br/>
      </w:r>
    </w:p>
    <w:p>
      <w:r>
        <w:rPr>
          <w:rFonts w:ascii="Times New Roman" w:hAnsi="Times New Roman"/>
          <w:sz w:val="20"/>
        </w:rPr>
        <w:br/>
        <w:t>• Containerized and deployed data pipelines using Docker, with foundational knowledge of OpenShift orchestration to ensure scalable and reliable production deployments.</w:t>
        <w:br/>
      </w:r>
    </w:p>
    <w:p>
      <w:r>
        <w:rPr>
          <w:rFonts w:ascii="Times New Roman" w:hAnsi="Times New Roman"/>
          <w:sz w:val="20"/>
        </w:rPr>
        <w:br/>
        <w:t>• Developed high-performance ETL workflows within a financial context, maintaining strict data quality standards and applying governance principles similar to banking industry requirements.</w:t>
        <w:br/>
      </w:r>
    </w:p>
    <w:p>
      <w:r>
        <w:rPr>
          <w:rFonts w:ascii="Times New Roman" w:hAnsi="Times New Roman"/>
          <w:sz w:val="20"/>
        </w:rPr>
        <w:br/>
        <w:t>• Leveraged Pandas and NumPy for complex data manipulation and feature engineering, creating structured datasets to support downstream AI-enabled analytics and modeling.</w:t>
        <w:br/>
      </w:r>
    </w:p>
    <w:p>
      <w:r>
        <w:rPr>
          <w:rFonts w:ascii="Times New Roman" w:hAnsi="Times New Roman"/>
          <w:sz w:val="20"/>
        </w:rPr>
        <w:br/>
        <w:t>• Optimized data architecture and pipeline monitoring, troubleshooting performance bottlenecks in containerized environments to ensure continuous uptime and system reliability.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