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identity proofing and member authentication data from PostgreSQL databases into unified schemas, ensuring robust data mapping for secure user validation and fraud prevention initiatives.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translate complex fraud rules management requirements into technical logic, driving strategy implementation for risk mitigation.</w:t>
        <w:br/>
      </w:r>
    </w:p>
    <w:p>
      <w:r>
        <w:rPr>
          <w:rFonts w:ascii="Times New Roman" w:hAnsi="Times New Roman"/>
          <w:sz w:val="20"/>
        </w:rPr>
        <w:br/>
        <w:t>• Applied AI/ML methodologies using Python to perform exploratory data analysis on 2M+ loan records, identifying suspicious patterns and potential default risk indicators.</w:t>
        <w:br/>
      </w:r>
    </w:p>
    <w:p>
      <w:r>
        <w:rPr>
          <w:rFonts w:ascii="Times New Roman" w:hAnsi="Times New Roman"/>
          <w:sz w:val="20"/>
        </w:rPr>
        <w:br/>
        <w:t>• Ensured all analytical outputs and data pipelines maintained strict compliance with financial industry standards, including awareness of regulatory frameworks such as Reg E, Reg CC, and UDAAP.</w:t>
        <w:br/>
      </w:r>
    </w:p>
    <w:p>
      <w:r>
        <w:rPr>
          <w:rFonts w:ascii="Times New Roman" w:hAnsi="Times New Roman"/>
          <w:sz w:val="20"/>
        </w:rPr>
        <w:br/>
        <w:t>• Optimized query performance by utilizing Snowflake SQL window functions and CTEs to perform advanced data mining, reducing manual reporting time by 40% and improving detection accuracy.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