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directly supporting the need for robust data governance in financial services.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demonstrating a strong aptitude for creating impactful dashboards and improving reporting processes.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saving 8 hours per week and improving reporting accuracy for faster strategic decisions, showcasing capabilities in workflow automation and data pipelines.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spend, which translates to analytical rigor applicable to investment strategy.</w:t>
        <w:br/>
      </w:r>
    </w:p>
    <w:p>
      <w:r>
        <w:rPr>
          <w:rFonts w:ascii="Times New Roman" w:hAnsi="Times New Roman"/>
          <w:sz w:val="20"/>
        </w:rPr>
        <w:br/>
        <w:t>• Collaborated with product managers on a 14-person team to align features with business objectives, streamlining the software development workflow and reducing delivery delays by 25%, demonstrating a structured approach to project management and stakeholder alignment relevant to investment team support.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