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cross-functional departments in a matrixed environment to deliver automated financial reporting, reducing project delivery delays by 25% and enhancing stakeholder visibility.</w:t>
        <w:br/>
      </w:r>
    </w:p>
    <w:p>
      <w:r>
        <w:rPr>
          <w:rFonts w:ascii="Times New Roman" w:hAnsi="Times New Roman"/>
          <w:sz w:val="20"/>
        </w:rPr>
        <w:br/>
        <w:t>• Led monthly performance reviews for leadership, translating raw operational data into executive-ready outputs and PowerPoint presentations to support strategic decision-making.</w:t>
        <w:br/>
      </w:r>
    </w:p>
    <w:p>
      <w:r>
        <w:rPr>
          <w:rFonts w:ascii="Times New Roman" w:hAnsi="Times New Roman"/>
          <w:sz w:val="20"/>
        </w:rPr>
        <w:br/>
        <w:t>• Streamlined monthly reporting workflows by developing custom dashboards, improving the accuracy and agility of financial analysis and reducing manual processing time by 40%.</w:t>
        <w:br/>
      </w:r>
    </w:p>
    <w:p>
      <w:r>
        <w:rPr>
          <w:rFonts w:ascii="Times New Roman" w:hAnsi="Times New Roman"/>
          <w:sz w:val="20"/>
        </w:rPr>
        <w:br/>
        <w:t>• Collaborated with diverse teams to refine business assumptions and KPIs, providing actionable analytical insights that supported long-term strategy and growth initiatives.</w:t>
        <w:br/>
      </w:r>
    </w:p>
    <w:p>
      <w:r>
        <w:rPr>
          <w:rFonts w:ascii="Times New Roman" w:hAnsi="Times New Roman"/>
          <w:sz w:val="20"/>
        </w:rPr>
        <w:br/>
        <w:t>• Designed and implemented robust data models and automated reporting templates to support ad hoc analysis, improving operational efficiency and reporting consistency across the organization.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