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Led the end-to-end delivery of country-level tools and solutions, including workflow automation and dashboard development, ensuring adherence to all security, privacy, and quality standards.</w:t>
        <w:br/>
      </w:r>
    </w:p>
    <w:p>
      <w:r>
        <w:rPr>
          <w:rFonts w:ascii="Times New Roman" w:hAnsi="Times New Roman"/>
          <w:sz w:val="20"/>
        </w:rPr>
        <w:br/>
        <w:t>• Developed and validated data pipelines for ingestion and transformation, ensuring data quality and reliability for downstream analytics, mirroring the rigor required for controlled deployments.</w:t>
        <w:br/>
      </w:r>
    </w:p>
    <w:p>
      <w:r>
        <w:rPr>
          <w:rFonts w:ascii="Times New Roman" w:hAnsi="Times New Roman"/>
          <w:sz w:val="20"/>
        </w:rPr>
        <w:br/>
        <w:t>• Translated complex technical findings and implemented solutions to address pain points within clinical trial operations, driving measurable improvements in efficiency and quality.</w:t>
        <w:br/>
      </w:r>
    </w:p>
    <w:p>
      <w:r>
        <w:rPr>
          <w:rFonts w:ascii="Times New Roman" w:hAnsi="Times New Roman"/>
          <w:sz w:val="20"/>
        </w:rPr>
        <w:br/>
        <w:t>• Managed the lifecycle of developed solutions, from initial deployment through maintenance and eventual disposal, ensuring compliance with regulatory standards and company policies.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teams, including Compliance and Legal, to ensure all technology-enabled solutions met stringent regulatory requirements, including ICH GCP.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