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ETL workflows using Python and SQL, while gaining functional exposure to enterprise orchestration tools similar to Talend and Qlik Replicate to maintain high-availability data pipelines.</w:t>
        <w:br/>
      </w:r>
    </w:p>
    <w:p>
      <w:r>
        <w:rPr>
          <w:rFonts w:ascii="Times New Roman" w:hAnsi="Times New Roman"/>
          <w:sz w:val="20"/>
        </w:rPr>
        <w:br/>
        <w:t>• Managed incident response and service requests through ITSM platforms, maintaining detailed documentation in ServiceNow to ensure ITIL-aligned support and rapid issue resolution.</w:t>
        <w:br/>
      </w:r>
    </w:p>
    <w:p>
      <w:r>
        <w:rPr>
          <w:rFonts w:ascii="Times New Roman" w:hAnsi="Times New Roman"/>
          <w:sz w:val="20"/>
        </w:rPr>
        <w:br/>
        <w:t>• Automated routine server-side system maintenance and data validation tasks using Python and PowerShell scripting to reduce manual intervention in support operations.</w:t>
        <w:br/>
      </w:r>
    </w:p>
    <w:p>
      <w:r>
        <w:rPr>
          <w:rFonts w:ascii="Times New Roman" w:hAnsi="Times New Roman"/>
          <w:sz w:val="20"/>
        </w:rPr>
        <w:br/>
        <w:t>• Monitored production environments using observability tools to identify and remediate schema drift, ensuring data integrity within the Snowflake data warehouse.</w:t>
        <w:br/>
      </w:r>
    </w:p>
    <w:p>
      <w:r>
        <w:rPr>
          <w:rFonts w:ascii="Times New Roman" w:hAnsi="Times New Roman"/>
          <w:sz w:val="20"/>
        </w:rPr>
        <w:br/>
        <w:t>• Enforced strict data governance by managing RBAC and access control lists, ensuring all data operations complied with audit requirements and security policies.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