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end-to-end data pipelines using Python and SQL, incorporating Cloud Composer (Airflow) for orchestration to automate batch processing and ensure reliable daily data delivery.</w:t>
        <w:br/>
      </w:r>
    </w:p>
    <w:p>
      <w:r>
        <w:rPr>
          <w:rFonts w:ascii="Times New Roman" w:hAnsi="Times New Roman"/>
          <w:sz w:val="20"/>
        </w:rPr>
        <w:br/>
        <w:t>• Engineered and maintained scalable data ingestion workflows from diverse sources, including PostgreSQL and MongoDB, utilizing GCP Cloud Functions and Cloud Storage for efficient handling of structured and unstructured datasets.</w:t>
        <w:br/>
      </w:r>
    </w:p>
    <w:p>
      <w:r>
        <w:rPr>
          <w:rFonts w:ascii="Times New Roman" w:hAnsi="Times New Roman"/>
          <w:sz w:val="20"/>
        </w:rPr>
        <w:br/>
        <w:t>• Implemented comprehensive observability and data quality monitoring using Great Expectations and integrated log-based alerts to proactively resolve ingestion issues and ensure high data integrity.</w:t>
        <w:br/>
      </w:r>
    </w:p>
    <w:p>
      <w:r>
        <w:rPr>
          <w:rFonts w:ascii="Times New Roman" w:hAnsi="Times New Roman"/>
          <w:sz w:val="20"/>
        </w:rPr>
        <w:br/>
        <w:t>• Built and deployed predictive models leveraging BigQuery ML for capacity forecasting, and utilized SQL-based feature engineering to support advanced analytics and machine learning initiatives.</w:t>
        <w:br/>
      </w:r>
    </w:p>
    <w:p>
      <w:r>
        <w:rPr>
          <w:rFonts w:ascii="Times New Roman" w:hAnsi="Times New Roman"/>
          <w:sz w:val="20"/>
        </w:rPr>
        <w:br/>
        <w:t>• Developed robust data governance frameworks by documenting data lineage and metadata management practices, ensuring compliance with strict data security and retention policies.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