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Architected robust Power BI semantic models and complex DAX measures to support self-service analytics, ensuring data consistency and optimized performance for executive reporting.</w:t>
        <w:br/>
      </w:r>
    </w:p>
    <w:p>
      <w:r>
        <w:rPr>
          <w:rFonts w:ascii="Times New Roman" w:hAnsi="Times New Roman"/>
          <w:sz w:val="20"/>
        </w:rPr>
        <w:br/>
        <w:t>• Implemented Row Level Security (RLS) and governed access models within Power BI to ensure data privacy and compliance for sensitive organizational KPIs.</w:t>
        <w:br/>
      </w:r>
    </w:p>
    <w:p>
      <w:r>
        <w:rPr>
          <w:rFonts w:ascii="Times New Roman" w:hAnsi="Times New Roman"/>
          <w:sz w:val="20"/>
        </w:rPr>
        <w:br/>
        <w:t>• Collaborated with data science teams to translate predictive model outputs into business-friendly visual narratives, leveraging hierarchies and drill-through functionality to drive utilization analysis.</w:t>
        <w:br/>
      </w:r>
    </w:p>
    <w:p>
      <w:r>
        <w:rPr>
          <w:rFonts w:ascii="Times New Roman" w:hAnsi="Times New Roman"/>
          <w:sz w:val="20"/>
        </w:rPr>
        <w:br/>
        <w:t>• Built and maintained scalable data pipelines utilizing cloud environments (similar to Azure Synapse/Fabric), ensuring clean, governed datasets for high-stakes decision-making.</w:t>
        <w:br/>
      </w:r>
    </w:p>
    <w:p>
      <w:r>
        <w:rPr>
          <w:rFonts w:ascii="Times New Roman" w:hAnsi="Times New Roman"/>
          <w:sz w:val="20"/>
        </w:rPr>
        <w:br/>
        <w:t>• Developed intuitive dashboards focused on variance explanations and attribution insights, effectively communicating member-level trends and demographic data to non-technical stakeholders.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