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author BRDs and execute UAT for software features, ensuring project delivery alignment with business and regulatory compliance standards.</w:t>
        <w:br/>
      </w:r>
    </w:p>
    <w:p>
      <w:r>
        <w:rPr>
          <w:rFonts w:ascii="Times New Roman" w:hAnsi="Times New Roman"/>
          <w:sz w:val="20"/>
        </w:rPr>
        <w:br/>
        <w:t>• Performed detailed data validation and reconciliation of complex datasets using SQL, providing actionable reporting for audit readiness and supervisory oversight.</w:t>
        <w:br/>
      </w:r>
    </w:p>
    <w:p>
      <w:r>
        <w:rPr>
          <w:rFonts w:ascii="Times New Roman" w:hAnsi="Times New Roman"/>
          <w:sz w:val="20"/>
        </w:rPr>
        <w:br/>
        <w:t>• Provided BAU support and issue triage for internal data platforms, managing backend data uploads and bulk updates to maintain system integrity.</w:t>
        <w:br/>
      </w:r>
    </w:p>
    <w:p>
      <w:r>
        <w:rPr>
          <w:rFonts w:ascii="Times New Roman" w:hAnsi="Times New Roman"/>
          <w:sz w:val="20"/>
        </w:rPr>
        <w:br/>
        <w:t>• Leveraged AI tools, including Copilot and ChatGPT, to streamline data parsing, automate recurring reporting tasks, and generate insights for risk and control initiatives.</w:t>
        <w:br/>
      </w:r>
    </w:p>
    <w:p>
      <w:r>
        <w:rPr>
          <w:rFonts w:ascii="Times New Roman" w:hAnsi="Times New Roman"/>
          <w:sz w:val="20"/>
        </w:rPr>
        <w:br/>
        <w:t>• Coordinated with third-party vendors and internal stakeholders to drive project implementations, focusing on efficient workflow documentation and production rollouts.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