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Python-based ETL pipelines, incorporating data validation and error-handling best practices to ensure high-quality, reliable data ingestion analogous to Databricks/Delta Lake architecture.</w:t>
        <w:br/>
      </w:r>
    </w:p>
    <w:p>
      <w:r>
        <w:rPr>
          <w:rFonts w:ascii="Times New Roman" w:hAnsi="Times New Roman"/>
          <w:sz w:val="20"/>
        </w:rPr>
        <w:br/>
        <w:t>• Built and deployed interactive reporting solutions using Power BI, with a demonstrated ability to learn and implement modern web-based frameworks like Streamlit for performance analytics dashboards.</w:t>
        <w:br/>
      </w:r>
    </w:p>
    <w:p>
      <w:r>
        <w:rPr>
          <w:rFonts w:ascii="Times New Roman" w:hAnsi="Times New Roman"/>
          <w:sz w:val="20"/>
        </w:rPr>
        <w:br/>
        <w:t>• Integrated external vendor API data and SQL-based schemas to optimize system performance, with strong foundational knowledge in managing API authentication and schema evolution.</w:t>
        <w:br/>
      </w:r>
    </w:p>
    <w:p>
      <w:r>
        <w:rPr>
          <w:rFonts w:ascii="Times New Roman" w:hAnsi="Times New Roman"/>
          <w:sz w:val="20"/>
        </w:rPr>
        <w:br/>
        <w:t>• Applied time-series analysis and segmentation techniques to large-scale datasets, possessing the technical aptitude to quickly adapt these skills to monitor renewable energy generation and SCADA performance metrics.</w:t>
        <w:br/>
      </w:r>
    </w:p>
    <w:p>
      <w:r>
        <w:rPr>
          <w:rFonts w:ascii="Times New Roman" w:hAnsi="Times New Roman"/>
          <w:sz w:val="20"/>
        </w:rPr>
        <w:br/>
        <w:t>• Documented complex data pipelines and system processes, maintaining comprehensive data dictionaries to ensure governance and alignment with team engineering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