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Collaborated with marketing teams to design and execute A/B testing frameworks for email campaigns, leveraging statistical analysis to validate performance and optimize conversion strategies.</w:t>
        <w:br/>
      </w:r>
    </w:p>
    <w:p>
      <w:r>
        <w:rPr>
          <w:rFonts w:ascii="Times New Roman" w:hAnsi="Times New Roman"/>
          <w:sz w:val="20"/>
        </w:rPr>
        <w:br/>
        <w:t>• Engineered scalable data transformation workflows using DBT, streamlining the transition of raw data into analytical models and improving data consistency across reporting environments.</w:t>
        <w:br/>
      </w:r>
    </w:p>
    <w:p>
      <w:r>
        <w:rPr>
          <w:rFonts w:ascii="Times New Roman" w:hAnsi="Times New Roman"/>
          <w:sz w:val="20"/>
        </w:rPr>
        <w:br/>
        <w:t>• Applied advanced statistical techniques, including multivariate regression and significance testing, to translate complex performance data into strategic growth recommendations.</w:t>
        <w:br/>
      </w:r>
    </w:p>
    <w:p>
      <w:r>
        <w:rPr>
          <w:rFonts w:ascii="Times New Roman" w:hAnsi="Times New Roman"/>
          <w:sz w:val="20"/>
        </w:rPr>
        <w:br/>
        <w:t>• Utilized R for exploratory statistical analysis of large customer datasets, identifying key behavioral trends that informed data-driven product growth initiatives.</w:t>
        <w:br/>
      </w:r>
    </w:p>
    <w:p>
      <w:r>
        <w:rPr>
          <w:rFonts w:ascii="Times New Roman" w:hAnsi="Times New Roman"/>
          <w:sz w:val="20"/>
        </w:rPr>
        <w:br/>
        <w:t>• Integrated AI-enabled analytics tools (Claude, Cursor) into the development lifecycle to accelerate ETL pipeline construction, unit testing, and complex SQL query optimization.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