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automated reporting workflows for workforce metrics, including headcount, turnover, and compensation analysis, effectively replacing manual tracking with real-time dashboards to improve data accuracy and integrity.</w:t>
        <w:br/>
      </w:r>
    </w:p>
    <w:p>
      <w:r>
        <w:rPr>
          <w:rFonts w:ascii="Times New Roman" w:hAnsi="Times New Roman"/>
          <w:sz w:val="20"/>
        </w:rPr>
        <w:br/>
        <w:t>• Managed sensitive personnel data within CRM/HRIS systems, ensuring strict data confidentiality and integrity while performing regular data audits to support compliance and operational standards.</w:t>
        <w:br/>
      </w:r>
    </w:p>
    <w:p>
      <w:r>
        <w:rPr>
          <w:rFonts w:ascii="Times New Roman" w:hAnsi="Times New Roman"/>
          <w:sz w:val="20"/>
        </w:rPr>
        <w:br/>
        <w:t>• Collaborated with cross-functional leadership to provide ad hoc analyses on employee engagement and compensation trends, translating complex datasets into actionable insights for strategic decision-making.</w:t>
        <w:br/>
      </w:r>
    </w:p>
    <w:p>
      <w:r>
        <w:rPr>
          <w:rFonts w:ascii="Times New Roman" w:hAnsi="Times New Roman"/>
          <w:sz w:val="20"/>
        </w:rPr>
        <w:br/>
        <w:t>• Streamlined HR reporting by migrating manual spreadsheets to automated data workflows, reducing the time spent on recurring reporting packages by 40%.</w:t>
        <w:br/>
      </w:r>
    </w:p>
    <w:p>
      <w:r>
        <w:rPr>
          <w:rFonts w:ascii="Times New Roman" w:hAnsi="Times New Roman"/>
          <w:sz w:val="20"/>
        </w:rPr>
        <w:br/>
        <w:t>• Optimized data collection processes by integrating cloud-based data sources (Snowflake/BigQuery) into reporting models, improving the speed and reliability of metrics for operational and executive review.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