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robust data ingestion workflows for REST APIs and relational databases, ensuring secure data handling and observability through rigorous monitoring and automated error alerts.</w:t>
        <w:br/>
      </w:r>
    </w:p>
    <w:p>
      <w:r>
        <w:rPr>
          <w:rFonts w:ascii="Times New Roman" w:hAnsi="Times New Roman"/>
          <w:sz w:val="20"/>
        </w:rPr>
        <w:br/>
        <w:t>• Engineered scalable data pipelines utilizing AWS and GCP infrastructure, including the configuration of cloud storage, security best practices, and CI/CD deployment via GitHub Actions.</w:t>
        <w:br/>
      </w:r>
    </w:p>
    <w:p>
      <w:r>
        <w:rPr>
          <w:rFonts w:ascii="Times New Roman" w:hAnsi="Times New Roman"/>
          <w:sz w:val="20"/>
        </w:rPr>
        <w:br/>
        <w:t>• Designed and implemented ETL/ELT processes to normalize complex data sets, maintaining a strong focus on data quality and security protocols suitable for sensitive information environments.</w:t>
        <w:br/>
      </w:r>
    </w:p>
    <w:p>
      <w:r>
        <w:rPr>
          <w:rFonts w:ascii="Times New Roman" w:hAnsi="Times New Roman"/>
          <w:sz w:val="20"/>
        </w:rPr>
        <w:br/>
        <w:t>• Optimized data architectures for high availability, utilizing dbt and Airflow to ensure reliable, secure, and performant data delivery for downstream AI/ML consumption.</w:t>
        <w:br/>
      </w:r>
    </w:p>
    <w:p>
      <w:r>
        <w:rPr>
          <w:rFonts w:ascii="Times New Roman" w:hAnsi="Times New Roman"/>
          <w:sz w:val="20"/>
        </w:rPr>
        <w:br/>
        <w:t>• Reside in NYC and am eager to contribute to the engineering culture in-office 3+ days per week, collaborating directly with product teams to build scalable clinical infrastructure.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