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inferential statistics to evaluate user engagement and drive data-backed decisions that increased customer acquisition by 300%.</w:t>
        <w:br/>
      </w:r>
    </w:p>
    <w:p>
      <w:r>
        <w:rPr>
          <w:rFonts w:ascii="Times New Roman" w:hAnsi="Times New Roman"/>
          <w:sz w:val="20"/>
        </w:rPr>
        <w:br/>
        <w:t>• Applied causal inference methodologies to analyze customer behavioral data, identifying key drivers of churn and informing strategic product feature adjustments.</w:t>
        <w:br/>
      </w:r>
    </w:p>
    <w:p>
      <w:r>
        <w:rPr>
          <w:rFonts w:ascii="Times New Roman" w:hAnsi="Times New Roman"/>
          <w:sz w:val="20"/>
        </w:rPr>
        <w:br/>
        <w:t>• Utilized Mode and Tableau to build comprehensive product analytics dashboards, enabling cross-functional stakeholders to track KPIs and visualize user journey trends.</w:t>
        <w:br/>
      </w:r>
    </w:p>
    <w:p>
      <w:r>
        <w:rPr>
          <w:rFonts w:ascii="Times New Roman" w:hAnsi="Times New Roman"/>
          <w:sz w:val="20"/>
        </w:rPr>
        <w:br/>
        <w:t>• Collaborated within an Agile environment, demonstrating a growth mindset by partnering with cross-functional teams to iterate on data products and solve complex user-facing challenges.</w:t>
        <w:br/>
      </w:r>
    </w:p>
    <w:p>
      <w:r>
        <w:rPr>
          <w:rFonts w:ascii="Times New Roman" w:hAnsi="Times New Roman"/>
          <w:sz w:val="20"/>
        </w:rPr>
        <w:br/>
        <w:t>• Leveraged descriptive and inferential statistics to transform raw loan portfolio data into actionable insights, testing hypotheses to identify high-risk borrower segments.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