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interactive Power BI and Tableau dashboards to replace manual reporting for Attractions, Hospitality, and Partnerships, improving KPI visibility, reducing data processing time by 40%, and accelerating executive decision-making.</w:t>
        <w:br/>
      </w:r>
    </w:p>
    <w:p>
      <w:r>
        <w:rPr>
          <w:rFonts w:ascii="Times New Roman" w:hAnsi="Times New Roman"/>
          <w:sz w:val="20"/>
        </w:rPr>
        <w:br/>
        <w:t>• Created time series models to identify high-value customer segments; targeted marketing initiatives informed by these models contributed to a 300% increase in new customer acquisition over 12 months, demonstrating strong analytical capabilities for revenue growth.</w:t>
        <w:br/>
      </w:r>
    </w:p>
    <w:p>
      <w:r>
        <w:rPr>
          <w:rFonts w:ascii="Times New Roman" w:hAnsi="Times New Roman"/>
          <w:sz w:val="20"/>
        </w:rPr>
        <w:br/>
        <w:t>• Optimized operations by translating complex performance data into clear insights, reducing process bottlenecks and improving team efficiency by 25%, while also supporting sales team incentive plans through clear performance metrics.</w:t>
        <w:br/>
      </w:r>
    </w:p>
    <w:p>
      <w:r>
        <w:rPr>
          <w:rFonts w:ascii="Times New Roman" w:hAnsi="Times New Roman"/>
          <w:sz w:val="20"/>
        </w:rPr>
        <w:br/>
        <w:t>• Built an end-to-end ETL pipeline using Python and SQL to transform raw loan data into analytics-ready tables, including handling missing values, type casting, and validation checks, showcasing proficiency in data modeling and preparation for various systems including POS.</w:t>
        <w:br/>
      </w:r>
    </w:p>
    <w:p>
      <w:r>
        <w:rPr>
          <w:rFonts w:ascii="Times New Roman" w:hAnsi="Times New Roman"/>
          <w:sz w:val="20"/>
        </w:rPr>
        <w:br/>
        <w:t>• Designed an interactive Tableau dashboard to provide self-service access for stakeholders, visualizing arrests by location, time, and offense type, and delivered a data storytelling presentation and report to translate statistical insights into actionable recommendations, supporting informed decision-making for city safety initiatives and demonstrating expertise in executive presentations.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