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multiple datasets from APIs and PostgreSQL warehouses using Python and Spark, building structured data suitable for high-volume distributed systems and supporting more robust downstream analytics and reporting.</w:t>
        <w:br/>
      </w:r>
    </w:p>
    <w:p>
      <w:r>
        <w:rPr>
          <w:rFonts w:ascii="Times New Roman" w:hAnsi="Times New Roman"/>
          <w:sz w:val="20"/>
        </w:rPr>
        <w:br/>
        <w:t>• Built Python automation for weekly sales and operations reports (ingesting POS and CRM data) using ETL pipelines, saving 8 hours per week and improving reporting accuracy for faster strategic decisions.</w:t>
        <w:br/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 to measure audience response and lift, providing the statistical evidence needed to optimize marketing spend.</w:t>
        <w:br/>
      </w:r>
    </w:p>
    <w:p>
      <w:r>
        <w:rPr>
          <w:rFonts w:ascii="Times New Roman" w:hAnsi="Times New Roman"/>
          <w:sz w:val="20"/>
        </w:rPr>
        <w:br/>
        <w:t>• Monitored and measured statistical modeling performance through custom dashboards and alerts built in Power BI and Looker, ensuring models were functioning effectively and enabling continuous optimization.</w:t>
        <w:br/>
      </w:r>
    </w:p>
    <w:p>
      <w:r>
        <w:rPr>
          <w:rFonts w:ascii="Times New Roman" w:hAnsi="Times New Roman"/>
          <w:sz w:val="20"/>
        </w:rPr>
        <w:br/>
        <w:t>• Leveraged Docker for containerization of development environments and deployment processes, ensuring consistent and reproducible execution of data pipelines and ML models.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