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workflows by leveraging Power Query and advanced Excel functions to clean disparate marketing datasets, reducing report generation time by 25%.</w:t>
        <w:br/>
      </w:r>
    </w:p>
    <w:p>
      <w:r>
        <w:rPr>
          <w:rFonts w:ascii="Times New Roman" w:hAnsi="Times New Roman"/>
          <w:sz w:val="20"/>
        </w:rPr>
        <w:br/>
        <w:t>• Developed comprehensive CRM analytics dashboards in Salesforce, tracking lead-to-opportunity conversion metrics and campaign ROI to drive marketing strategy.</w:t>
        <w:br/>
      </w:r>
    </w:p>
    <w:p>
      <w:r>
        <w:rPr>
          <w:rFonts w:ascii="Times New Roman" w:hAnsi="Times New Roman"/>
          <w:sz w:val="20"/>
        </w:rPr>
        <w:br/>
        <w:t>• Led A/B testing and experimentation initiatives on digital channels, utilizing statistical analysis to optimize customer engagement and conversion outcomes.</w:t>
        <w:br/>
      </w:r>
    </w:p>
    <w:p>
      <w:r>
        <w:rPr>
          <w:rFonts w:ascii="Times New Roman" w:hAnsi="Times New Roman"/>
          <w:sz w:val="20"/>
        </w:rPr>
        <w:br/>
        <w:t>• Established robust data governance by defining consistent taxonomy and tagging structures for Google Analytics, ensuring data quality across all reporting infrastructure.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integrate paid media and social performance data into unified reporting frameworks, delivering actionable insights for marketing optimization.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