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production-grade data pipelines using BigQuery, while evaluating modern data lake table formats like Apache Iceberg to optimize storage efficiency and query performance.</w:t>
        <w:br/>
      </w:r>
    </w:p>
    <w:p>
      <w:r>
        <w:rPr>
          <w:rFonts w:ascii="Times New Roman" w:hAnsi="Times New Roman"/>
          <w:sz w:val="20"/>
        </w:rPr>
        <w:br/>
        <w:t>• Engineered scalable ETL workflows in Airflow that mimic streaming-like ingestion patterns, ensuring low-latency data availability for mission-critical analytics.</w:t>
        <w:br/>
      </w:r>
    </w:p>
    <w:p>
      <w:r>
        <w:rPr>
          <w:rFonts w:ascii="Times New Roman" w:hAnsi="Times New Roman"/>
          <w:sz w:val="20"/>
        </w:rPr>
        <w:br/>
        <w:t>• Integrated distributed query processing concepts using Spark-based transformations to handle large-scale datasets, significantly reducing computation overhead.</w:t>
        <w:br/>
      </w:r>
    </w:p>
    <w:p>
      <w:r>
        <w:rPr>
          <w:rFonts w:ascii="Times New Roman" w:hAnsi="Times New Roman"/>
          <w:sz w:val="20"/>
        </w:rPr>
        <w:br/>
        <w:t>• Designed and implemented robust data schema structures, incorporating indexing and partitioning strategies that mirror the requirements of high-concurrency environments like Trino or ClickHouse.</w:t>
        <w:br/>
      </w:r>
    </w:p>
    <w:p>
      <w:r>
        <w:rPr>
          <w:rFonts w:ascii="Times New Roman" w:hAnsi="Times New Roman"/>
          <w:sz w:val="20"/>
        </w:rPr>
        <w:br/>
        <w:t>• Applied data modeling best practices to handle complex network-related datasets, ensuring high-fidelity lineage and quality for downstream operational intelligence.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