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multi-variable financial models to support strategic planning, integrating complex datasets to conduct sensitivity analysis and evaluate growth initiatives.</w:t>
        <w:br/>
      </w:r>
    </w:p>
    <w:p>
      <w:r>
        <w:rPr>
          <w:rFonts w:ascii="Times New Roman" w:hAnsi="Times New Roman"/>
          <w:sz w:val="20"/>
        </w:rPr>
        <w:br/>
        <w:t>• Managed full-cycle financial reporting, including variance analysis and monthly budget tracking, to ensure departmental adherence to financial goals and operational efficiency.</w:t>
        <w:br/>
      </w:r>
    </w:p>
    <w:p>
      <w:r>
        <w:rPr>
          <w:rFonts w:ascii="Times New Roman" w:hAnsi="Times New Roman"/>
          <w:sz w:val="20"/>
        </w:rPr>
        <w:br/>
        <w:t>• Applied foundational accounting principles to perform data reconciliation and quality control, ensuring high data accuracy across all financial outputs and systems.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financial data into actionable forecasting reports for senior leadership, facilitating informed resource allocation.</w:t>
        <w:br/>
      </w:r>
    </w:p>
    <w:p>
      <w:r>
        <w:rPr>
          <w:rFonts w:ascii="Times New Roman" w:hAnsi="Times New Roman"/>
          <w:sz w:val="20"/>
        </w:rPr>
        <w:br/>
        <w:t>• Championed process improvements by identifying opportunities to automate routine financial tasks and reporting workflows, reducing manual rework by 25%.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