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ELT pipelines to ingest unstructured JSON data from REST APIs, transforming raw records into structured feature sets for downstream consumption.</w:t>
        <w:br/>
      </w:r>
    </w:p>
    <w:p>
      <w:r>
        <w:rPr>
          <w:rFonts w:ascii="Times New Roman" w:hAnsi="Times New Roman"/>
          <w:sz w:val="20"/>
        </w:rPr>
        <w:br/>
        <w:t>• Built and maintained retrieval-ready data structures, including embeddings for semantic search, to support AI-driven feature development and predictive modeling.</w:t>
        <w:br/>
      </w:r>
    </w:p>
    <w:p>
      <w:r>
        <w:rPr>
          <w:rFonts w:ascii="Times New Roman" w:hAnsi="Times New Roman"/>
          <w:sz w:val="20"/>
        </w:rPr>
        <w:br/>
        <w:t>• Architected production data layers to support AI/ML workloads, ensuring data quality and observability standards were maintained for downstream agentic integrations.</w:t>
        <w:br/>
      </w:r>
    </w:p>
    <w:p>
      <w:r>
        <w:rPr>
          <w:rFonts w:ascii="Times New Roman" w:hAnsi="Times New Roman"/>
          <w:sz w:val="20"/>
        </w:rPr>
        <w:br/>
        <w:t>• Designed and implemented retrieval-layer logic within data pipelines to surface real-time insights, directly powering AI-based matching engines.</w:t>
        <w:br/>
      </w:r>
    </w:p>
    <w:p>
      <w:r>
        <w:rPr>
          <w:rFonts w:ascii="Times New Roman" w:hAnsi="Times New Roman"/>
          <w:sz w:val="20"/>
        </w:rPr>
        <w:br/>
        <w:t>• Collaborated on feature store development by consolidating normalized data attributes, enabling consistent data retrieval for machine learning and operational intelligence.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