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SQL Server and PostgreSQL databases by refactoring complex queries and implementing performance tuning, ensuring high availability and data integrity for enterprise-scale reporting.</w:t>
        <w:br/>
      </w:r>
    </w:p>
    <w:p>
      <w:r>
        <w:rPr>
          <w:rFonts w:ascii="Times New Roman" w:hAnsi="Times New Roman"/>
          <w:sz w:val="20"/>
        </w:rPr>
        <w:br/>
        <w:t>• Engineered scalable data warehouse architectures, integrating disparate financial datasets to provide a single source of truth for downstream BI analytics and executive reporting.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document and implement data protection, security, and compliance protocols, ensuring all BI assets adhered to industry-standard regulatory and privacy policies.</w:t>
        <w:br/>
      </w:r>
    </w:p>
    <w:p>
      <w:r>
        <w:rPr>
          <w:rFonts w:ascii="Times New Roman" w:hAnsi="Times New Roman"/>
          <w:sz w:val="20"/>
        </w:rPr>
        <w:br/>
        <w:t>• Leveraged experience in the lending and insurance sectors to translate complex financial data into actionable insights, aligning BI solutions with strict federal and state regulatory requirements.</w:t>
        <w:br/>
      </w:r>
    </w:p>
    <w:p>
      <w:r>
        <w:rPr>
          <w:rFonts w:ascii="Times New Roman" w:hAnsi="Times New Roman"/>
          <w:sz w:val="20"/>
        </w:rPr>
        <w:br/>
        <w:t>• Managed full-lifecycle BI projects using rigorous change control and testing processes, ensuring all dashboards and data extracts met enterprise quality assurance and security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