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within Agile/Scrum cross-functional teams at Haven Technologies to deliver software features, utilizing JIRA and Confluence to manage the full SDLC lifecycle and ensure project alignment.</w:t>
        <w:br/>
      </w:r>
    </w:p>
    <w:p>
      <w:r>
        <w:rPr>
          <w:rFonts w:ascii="Times New Roman" w:hAnsi="Times New Roman"/>
          <w:sz w:val="20"/>
        </w:rPr>
        <w:br/>
        <w:t>• Defined clear acceptance criteria for BI reporting projects and conducted UAT activities, ensuring all dashboards met functional requirements and business objectives before deployment.</w:t>
        <w:br/>
      </w:r>
    </w:p>
    <w:p>
      <w:r>
        <w:rPr>
          <w:rFonts w:ascii="Times New Roman" w:hAnsi="Times New Roman"/>
          <w:sz w:val="20"/>
        </w:rPr>
        <w:br/>
        <w:t>• Implemented data governance and quality principles by establishing standardized documentation practices, ensuring data accuracy and consistency across enterprise reporting solutions.</w:t>
        <w:br/>
      </w:r>
    </w:p>
    <w:p>
      <w:r>
        <w:rPr>
          <w:rFonts w:ascii="Times New Roman" w:hAnsi="Times New Roman"/>
          <w:sz w:val="20"/>
        </w:rPr>
        <w:br/>
        <w:t>• Applied rigorous data validation and quality assurance testing protocols to ensure high-integrity outputs in alignment with the compliance standards of the financial services sector.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translate complex business challenges into functional specifications, including the creation of detailed process flows and requirements traceability matrices.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