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boutique-level performance tracking dashboards in Power BI, enabling regional leadership to monitor CRM KPIs and optimize data capture quality across client touchpoints.</w:t>
        <w:br/>
      </w:r>
    </w:p>
    <w:p>
      <w:r>
        <w:rPr>
          <w:rFonts w:ascii="Times New Roman" w:hAnsi="Times New Roman"/>
          <w:sz w:val="20"/>
        </w:rPr>
        <w:br/>
        <w:t>• Streamlined clienteling tools and onboarding workflows, facilitating seamless CRM enablement for team members to improve data compliance and standardize client interactions.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execute high-touch email and event-based CRM campaigns, tracking ROI and performance to refine luxury client engagement strategies.</w:t>
        <w:br/>
      </w:r>
    </w:p>
    <w:p>
      <w:r>
        <w:rPr>
          <w:rFonts w:ascii="Times New Roman" w:hAnsi="Times New Roman"/>
          <w:sz w:val="20"/>
        </w:rPr>
        <w:br/>
        <w:t>• Maintained and optimized client waitlist databases and activity logs, ensuring data integrity and a premium, responsive experience for high-value client segments.</w:t>
        <w:br/>
      </w:r>
    </w:p>
    <w:p>
      <w:r>
        <w:rPr>
          <w:rFonts w:ascii="Times New Roman" w:hAnsi="Times New Roman"/>
          <w:sz w:val="20"/>
        </w:rPr>
        <w:br/>
        <w:t>• Supported the strategic planning of client-centric experiences by coordinating logistics and data-driven outreach, ensuring consistent brand standards and exceptional service delivery.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