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relational database queries using Microsoft SQL and CTEs to perform data reconciliation and audit testing on insurance datasets, improving data accuracy by 30%.</w:t>
        <w:br/>
      </w:r>
    </w:p>
    <w:p>
      <w:r>
        <w:rPr>
          <w:rFonts w:ascii="Times New Roman" w:hAnsi="Times New Roman"/>
          <w:sz w:val="20"/>
        </w:rPr>
        <w:br/>
        <w:t>• Developed automated data extraction routines and monitoring scripts to identify anomalies in financial systems, supporting internal audit initiatives and rigorous control validation.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to translate business requirements into audit workpapers and risk management reports, ensuring compliance with IT controls and data governance standards.</w:t>
        <w:br/>
      </w:r>
    </w:p>
    <w:p>
      <w:r>
        <w:rPr>
          <w:rFonts w:ascii="Times New Roman" w:hAnsi="Times New Roman"/>
          <w:sz w:val="20"/>
        </w:rPr>
        <w:br/>
        <w:t>• Streamlined financial data reporting by building repeatable Python-based ETL pipelines that ensure completeness and accuracy assertions for stakeholder review.</w:t>
        <w:br/>
      </w:r>
    </w:p>
    <w:p>
      <w:r>
        <w:rPr>
          <w:rFonts w:ascii="Times New Roman" w:hAnsi="Times New Roman"/>
          <w:sz w:val="20"/>
        </w:rPr>
        <w:br/>
        <w:t>• Integrated audit-ready data models into Power BI dashboards, enabling continuous auditing and real-time visualization of high-risk metrics for internal control management.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