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 over 10 years of executive support experience, including high-level interaction with C-Suite executives and Board members to facilitate strategic decision-making.</w:t>
        <w:br/>
      </w:r>
    </w:p>
    <w:p>
      <w:r>
        <w:rPr>
          <w:rFonts w:ascii="Times New Roman" w:hAnsi="Times New Roman"/>
          <w:sz w:val="20"/>
        </w:rPr>
        <w:br/>
        <w:t>• Manage and monitor departmental budgets, including expense reporting and invoice processing, to ensure fiscal accountability and operational efficiency.</w:t>
        <w:br/>
      </w:r>
    </w:p>
    <w:p>
      <w:r>
        <w:rPr>
          <w:rFonts w:ascii="Times New Roman" w:hAnsi="Times New Roman"/>
          <w:sz w:val="20"/>
        </w:rPr>
        <w:br/>
        <w:t>• Apply independent judgment and personal initiative to navigate complex projects, resolving operational challenges proactively without constant direct supervision.</w:t>
        <w:br/>
      </w:r>
    </w:p>
    <w:p>
      <w:r>
        <w:rPr>
          <w:rFonts w:ascii="Times New Roman" w:hAnsi="Times New Roman"/>
          <w:sz w:val="20"/>
        </w:rPr>
        <w:br/>
        <w:t>• Synthesize complex financial and operational data into executive-level reports, utilizing advanced Microsoft Office skills to support organizational objectives and Board requirements.</w:t>
        <w:br/>
      </w:r>
    </w:p>
    <w:p>
      <w:r>
        <w:rPr>
          <w:rFonts w:ascii="Times New Roman" w:hAnsi="Times New Roman"/>
          <w:sz w:val="20"/>
        </w:rPr>
        <w:br/>
        <w:t>• Demonstrate a high level of discretion and integrity by managing sensitive documents and confidential communications for executive leadership and Board-level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