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marketing campaign exposure data with behavioral datasets using SQL and Python to drive customer segmentation strategies and optimize performance tracking.</w:t>
        <w:br/>
      </w:r>
    </w:p>
    <w:p>
      <w:r>
        <w:rPr>
          <w:rFonts w:ascii="Times New Roman" w:hAnsi="Times New Roman"/>
          <w:sz w:val="20"/>
        </w:rPr>
        <w:br/>
        <w:t>• Transformed ambiguous stakeholder requests into structured hypotheses, leveraging data modeling skills to define key variables for recurring analytical reporting.</w:t>
        <w:br/>
      </w:r>
    </w:p>
    <w:p>
      <w:r>
        <w:rPr>
          <w:rFonts w:ascii="Times New Roman" w:hAnsi="Times New Roman"/>
          <w:sz w:val="20"/>
        </w:rPr>
        <w:br/>
        <w:t>• Collaborated on cross-functional projects, applying principles of data integrity and validation to ensure accuracy in complex, high-stakes reporting environments similar to healthcare data standards.</w:t>
        <w:br/>
      </w:r>
    </w:p>
    <w:p>
      <w:r>
        <w:rPr>
          <w:rFonts w:ascii="Times New Roman" w:hAnsi="Times New Roman"/>
          <w:sz w:val="20"/>
        </w:rPr>
        <w:br/>
        <w:t>• Leveraged advanced database query techniques (CTEs, window functions) to aggregate large-scale, multi-source datasets, ensuring readiness for predictive analysis and product-focused insights.</w:t>
        <w:br/>
      </w:r>
    </w:p>
    <w:p>
      <w:r>
        <w:rPr>
          <w:rFonts w:ascii="Times New Roman" w:hAnsi="Times New Roman"/>
          <w:sz w:val="20"/>
        </w:rPr>
        <w:br/>
        <w:t>• Maintained rigorous data documentation and audit trails using JIRA and Confluence, ensuring quality control and consistency in the delivery of analytical solutions.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