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and scenario analyses using Python (Pandas/Scikit-Learn) to forecast customer churn and project revenue growth, directly informing strategic decision-making.</w:t>
        <w:br/>
      </w:r>
    </w:p>
    <w:p>
      <w:r>
        <w:rPr>
          <w:rFonts w:ascii="Times New Roman" w:hAnsi="Times New Roman"/>
          <w:sz w:val="20"/>
        </w:rPr>
        <w:br/>
        <w:t>• Built robust analytical frameworks to evaluate performance drivers, specifically quantifying the impact of marketing variables on revenue, occupancy, and customer mix.</w:t>
        <w:br/>
      </w:r>
    </w:p>
    <w:p>
      <w:r>
        <w:rPr>
          <w:rFonts w:ascii="Times New Roman" w:hAnsi="Times New Roman"/>
          <w:sz w:val="20"/>
        </w:rPr>
        <w:br/>
        <w:t>• Engineered analytical features from raw operational data to build diagnostic models that identify correlations across financial and portfolio-level datasets.</w:t>
        <w:br/>
      </w:r>
    </w:p>
    <w:p>
      <w:r>
        <w:rPr>
          <w:rFonts w:ascii="Times New Roman" w:hAnsi="Times New Roman"/>
          <w:sz w:val="20"/>
        </w:rPr>
        <w:br/>
        <w:t>• Collaborated with operations and finance stakeholders to translate ambiguous business queries into structured analytical frameworks, driving data-informed investment strategies.</w:t>
        <w:br/>
      </w:r>
    </w:p>
    <w:p>
      <w:r>
        <w:rPr>
          <w:rFonts w:ascii="Times New Roman" w:hAnsi="Times New Roman"/>
          <w:sz w:val="20"/>
        </w:rPr>
        <w:br/>
        <w:t>• Applied statistical rigor to evaluate model performance and data quality, ensuring high-reliability insights for complex portfolio management and forecasting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