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modeling and scenario analysis frameworks to forecast revenue trends and occupancy rates, enabling data-driven strategic adjustments for stakeholders.</w:t>
        <w:br/>
      </w:r>
    </w:p>
    <w:p>
      <w:r>
        <w:rPr>
          <w:rFonts w:ascii="Times New Roman" w:hAnsi="Times New Roman"/>
          <w:sz w:val="20"/>
        </w:rPr>
        <w:br/>
        <w:t>• Partnered with finance and operations leadership to analyze large datasets, identifying key performance drivers that influenced portfolio-level revenue and operational efficiency.</w:t>
        <w:br/>
      </w:r>
    </w:p>
    <w:p>
      <w:r>
        <w:rPr>
          <w:rFonts w:ascii="Times New Roman" w:hAnsi="Times New Roman"/>
          <w:sz w:val="20"/>
        </w:rPr>
        <w:br/>
        <w:t>• Engineered analytical features from raw operational data to build performance models, conducting continuous model performance monitoring to ensure high-accuracy forecasting.</w:t>
        <w:br/>
      </w:r>
    </w:p>
    <w:p>
      <w:r>
        <w:rPr>
          <w:rFonts w:ascii="Times New Roman" w:hAnsi="Times New Roman"/>
          <w:sz w:val="20"/>
        </w:rPr>
        <w:br/>
        <w:t>• Translated complex business questions from portfolio managers into structured analytical problems, delivering executive-ready narratives that directly shaped senior housing operational strategies.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reconcile financial and operational data, providing actionable insights that optimized investment decision-making processes.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