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cloud-native data pipelines on AWS using serverless services (Lambda/S3), orchestrating file ingestion and transformation of CSV and Parquet formats to optimize downstream data availability.</w:t>
        <w:br/>
      </w:r>
    </w:p>
    <w:p>
      <w:r>
        <w:rPr>
          <w:rFonts w:ascii="Times New Roman" w:hAnsi="Times New Roman"/>
          <w:sz w:val="20"/>
        </w:rPr>
        <w:br/>
        <w:t>• Built and maintained internal operational dashboards using React, providing stakeholders with real-time visibility into data quality metrics and pipeline health.</w:t>
        <w:br/>
      </w:r>
    </w:p>
    <w:p>
      <w:r>
        <w:rPr>
          <w:rFonts w:ascii="Times New Roman" w:hAnsi="Times New Roman"/>
          <w:sz w:val="20"/>
        </w:rPr>
        <w:br/>
        <w:t>• Engineered robust data observability solutions that track schema evolution and provide automated alerting, ensuring consistent data integrity across complex distributed systems.</w:t>
        <w:br/>
      </w:r>
    </w:p>
    <w:p>
      <w:r>
        <w:rPr>
          <w:rFonts w:ascii="Times New Roman" w:hAnsi="Times New Roman"/>
          <w:sz w:val="20"/>
        </w:rPr>
        <w:br/>
        <w:t>• Implemented 'human-in-the-loop' audit trails within data processing workflows, allowing for manual verification of AI-driven model outputs to ensure high confidence and explainability.</w:t>
        <w:br/>
      </w:r>
    </w:p>
    <w:p>
      <w:r>
        <w:rPr>
          <w:rFonts w:ascii="Times New Roman" w:hAnsi="Times New Roman"/>
          <w:sz w:val="20"/>
        </w:rPr>
        <w:br/>
        <w:t>• Enhanced backend API architectures to include comprehensive automated testing and schema validation, significantly reducing production bugs during high-volume data ingestion.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