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ETL pipelines, implementing dbt models and modular transformation logic to ensure data quality and standardized schema evolution within the data platform.</w:t>
        <w:br/>
      </w:r>
    </w:p>
    <w:p>
      <w:r>
        <w:rPr>
          <w:rFonts w:ascii="Times New Roman" w:hAnsi="Times New Roman"/>
          <w:sz w:val="20"/>
        </w:rPr>
        <w:br/>
        <w:t>• Engineered scalable data lakehouse solutions by organizing raw data into a Medallion architecture (Bronze, Silver, Gold layers) to facilitate performant downstream analytics.</w:t>
        <w:br/>
      </w:r>
    </w:p>
    <w:p>
      <w:r>
        <w:rPr>
          <w:rFonts w:ascii="Times New Roman" w:hAnsi="Times New Roman"/>
          <w:sz w:val="20"/>
        </w:rPr>
        <w:br/>
        <w:t>• Automated CI/CD workflows for data pipelines using Git and Python, ensuring rigorous code reviews and automated environment promotion to maintain high deployment reliability.</w:t>
        <w:br/>
      </w:r>
    </w:p>
    <w:p>
      <w:r>
        <w:rPr>
          <w:rFonts w:ascii="Times New Roman" w:hAnsi="Times New Roman"/>
          <w:sz w:val="20"/>
        </w:rPr>
        <w:br/>
        <w:t>• Developed multi-tenant reporting solutions using Power BI, implementing granular access controls and row-level security to ensure data privacy for external stakeholders.</w:t>
        <w:br/>
      </w:r>
    </w:p>
    <w:p>
      <w:r>
        <w:rPr>
          <w:rFonts w:ascii="Times New Roman" w:hAnsi="Times New Roman"/>
          <w:sz w:val="20"/>
        </w:rPr>
        <w:br/>
        <w:t>• Integrated Java-based services with SQL-based data platforms, leveraging cross-language interoperability to improve system performance and data synchronization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