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sophisticated financial models in Excel to perform profitability analysis on product lines, utilizing advanced formulas, Pivot Tables, and VBA scripting to automate report generation.</w:t>
        <w:br/>
      </w:r>
    </w:p>
    <w:p>
      <w:r>
        <w:rPr>
          <w:rFonts w:ascii="Times New Roman" w:hAnsi="Times New Roman"/>
          <w:sz w:val="20"/>
        </w:rPr>
        <w:br/>
        <w:t>• Managed sales data integration within Salesforce, ensuring high-quality data integrity and creating custom dashboards to support real-time pricing analytics and sales performance tracking.</w:t>
        <w:br/>
      </w:r>
    </w:p>
    <w:p>
      <w:r>
        <w:rPr>
          <w:rFonts w:ascii="Times New Roman" w:hAnsi="Times New Roman"/>
          <w:sz w:val="20"/>
        </w:rPr>
        <w:br/>
        <w:t>• Collaborated with IT and cross-functional stakeholders to migrate legacy reporting into SQL Server, optimizing T-SQL stored procedures and packages to improve query performance for complex datasets.</w:t>
        <w:br/>
      </w:r>
    </w:p>
    <w:p>
      <w:r>
        <w:rPr>
          <w:rFonts w:ascii="Times New Roman" w:hAnsi="Times New Roman"/>
          <w:sz w:val="20"/>
        </w:rPr>
        <w:br/>
        <w:t>• Maintained centralized system documentation and configuration workflows using SharePoint, ensuring 100% accessibility for Sales and Finance teams during ERP system transitions.</w:t>
        <w:br/>
      </w:r>
    </w:p>
    <w:p>
      <w:r>
        <w:rPr>
          <w:rFonts w:ascii="Times New Roman" w:hAnsi="Times New Roman"/>
          <w:sz w:val="20"/>
        </w:rPr>
        <w:br/>
        <w:t>• Executed comprehensive data quality audits to achieve 95% accuracy in CRM and ERP records, developing automated SQL-based validation checks to identify and resolve reporting gaps.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