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Orchestrated complex, global travel itineraries and scheduling across multiple time zones for C-suite executives, ensuring seamless coordination for international business objectives.</w:t>
        <w:br/>
      </w:r>
    </w:p>
    <w:p>
      <w:r>
        <w:rPr>
          <w:rFonts w:ascii="Times New Roman" w:hAnsi="Times New Roman"/>
          <w:sz w:val="20"/>
        </w:rPr>
        <w:br/>
        <w:t>• Developed high-impact executive presentations and briefing decks using PowerPoint to facilitate strategic discussions and board meetings.</w:t>
        <w:br/>
      </w:r>
    </w:p>
    <w:p>
      <w:r>
        <w:rPr>
          <w:rFonts w:ascii="Times New Roman" w:hAnsi="Times New Roman"/>
          <w:sz w:val="20"/>
        </w:rPr>
        <w:br/>
        <w:t>• Streamlined office operations by proactively identifying and implementing process improvements, reducing administrative bottlenecks by 20% in Mac-based digital environments.</w:t>
        <w:br/>
      </w:r>
    </w:p>
    <w:p>
      <w:r>
        <w:rPr>
          <w:rFonts w:ascii="Times New Roman" w:hAnsi="Times New Roman"/>
          <w:sz w:val="20"/>
        </w:rPr>
        <w:br/>
        <w:t>• Partnered with leadership on talent acquisition by managing full-cycle recruitment pipelines, from sourcing to scheduling complex interview panels.</w:t>
        <w:br/>
      </w:r>
    </w:p>
    <w:p>
      <w:r>
        <w:rPr>
          <w:rFonts w:ascii="Times New Roman" w:hAnsi="Times New Roman"/>
          <w:sz w:val="20"/>
        </w:rPr>
        <w:br/>
        <w:t>• Maintained a strong executive presence as the primary liaison between internal leadership and external stakeholders, consistently delivering professional, high-touch communication.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