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inventory management by building time series models to track sell-through rates and weeks-of-supply, identifying high-value customer segments to inform smarter allocation.</w:t>
        <w:br/>
      </w:r>
    </w:p>
    <w:p>
      <w:r>
        <w:rPr>
          <w:rFonts w:ascii="Times New Roman" w:hAnsi="Times New Roman"/>
          <w:sz w:val="20"/>
        </w:rPr>
        <w:br/>
        <w:t>• Developed automated reporting for retail operations to monitor in-stock rates and SKU lifecycle performance, ensuring optimal stock levels across all locations.</w:t>
        <w:br/>
      </w:r>
    </w:p>
    <w:p>
      <w:r>
        <w:rPr>
          <w:rFonts w:ascii="Times New Roman" w:hAnsi="Times New Roman"/>
          <w:sz w:val="20"/>
        </w:rPr>
        <w:br/>
        <w:t>• Streamlined supply chain workflows by creating data-driven replenishment models, facilitating closer collaboration with merchandising and planning teams to align product availability with demand.</w:t>
        <w:br/>
      </w:r>
    </w:p>
    <w:p>
      <w:r>
        <w:rPr>
          <w:rFonts w:ascii="Times New Roman" w:hAnsi="Times New Roman"/>
          <w:sz w:val="20"/>
        </w:rPr>
        <w:br/>
        <w:t>• Analyzed SKU-level performance metrics to drive inventory movement strategy, translating complex datasets into actionable insights for merchandise planning and allocation teams.</w:t>
        <w:br/>
      </w:r>
    </w:p>
    <w:p>
      <w:r>
        <w:rPr>
          <w:rFonts w:ascii="Times New Roman" w:hAnsi="Times New Roman"/>
          <w:sz w:val="20"/>
        </w:rPr>
        <w:br/>
        <w:t>• Standardized inventory reconciliation processes by leveraging SQL and Python, ensuring high data accuracy for critical supply chain and retail decision-making.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