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Drafted and refined comprehensive SOPs, documentation, and technical reports, ensuring professional writing standards and clarity for diverse stakeholders.</w:t>
        <w:br/>
      </w:r>
    </w:p>
    <w:p>
      <w:r>
        <w:rPr>
          <w:rFonts w:ascii="Times New Roman" w:hAnsi="Times New Roman"/>
          <w:sz w:val="20"/>
        </w:rPr>
        <w:br/>
        <w:t>• Conducted rigorous data quality audits and model performance reviews, applying critical judgment to identify edge cases and failure modes in complex datasets.</w:t>
        <w:br/>
      </w:r>
    </w:p>
    <w:p>
      <w:r>
        <w:rPr>
          <w:rFonts w:ascii="Times New Roman" w:hAnsi="Times New Roman"/>
          <w:sz w:val="20"/>
        </w:rPr>
        <w:br/>
        <w:t>• Applied safety-conscious data practices while utilizing GenAI tools (ChatGPT, Claude) to refine and evaluate output quality, ensuring alignment with project guidelines.</w:t>
        <w:br/>
      </w:r>
    </w:p>
    <w:p>
      <w:r>
        <w:rPr>
          <w:rFonts w:ascii="Times New Roman" w:hAnsi="Times New Roman"/>
          <w:sz w:val="20"/>
        </w:rPr>
        <w:br/>
        <w:t>• Leveraged native-level English communication skills to document complex technical findings, ensuring clear and actionable insights for cross-functional teams.</w:t>
        <w:br/>
      </w:r>
    </w:p>
    <w:p>
      <w:r>
        <w:rPr>
          <w:rFonts w:ascii="Times New Roman" w:hAnsi="Times New Roman"/>
          <w:sz w:val="20"/>
        </w:rPr>
        <w:br/>
        <w:t>• Maintained strict consistency in applying evolving evaluation guidelines, successfully translating project requirements into high-accuracy data labels and actionable reports.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