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Drafted and refined comprehensive annotation guidelines and SOPs for operational workflows, ensuring consistency in data quality and team delivery standards.</w:t>
        <w:br/>
      </w:r>
    </w:p>
    <w:p>
      <w:r>
        <w:rPr>
          <w:rFonts w:ascii="Times New Roman" w:hAnsi="Times New Roman"/>
          <w:sz w:val="20"/>
        </w:rPr>
        <w:br/>
        <w:t>• Performed rigorous audit-based reviews of operational data to identify patterns, edge cases, and systemic bottlenecks, facilitating data-driven process improvements.</w:t>
        <w:br/>
      </w:r>
    </w:p>
    <w:p>
      <w:r>
        <w:rPr>
          <w:rFonts w:ascii="Times New Roman" w:hAnsi="Times New Roman"/>
          <w:sz w:val="20"/>
        </w:rPr>
        <w:br/>
        <w:t>• Leveraged native-level command of British English to develop high-quality, professional documentation and technical communications for cross-functional stakeholders.</w:t>
        <w:br/>
      </w:r>
    </w:p>
    <w:p>
      <w:r>
        <w:rPr>
          <w:rFonts w:ascii="Times New Roman" w:hAnsi="Times New Roman"/>
          <w:sz w:val="20"/>
        </w:rPr>
        <w:br/>
        <w:t>• Evaluated AI model outputs (ChatGPT, Claude) to identify failure modes, contributing to the refinement of internal evaluation frameworks and data labeling accuracy.</w:t>
        <w:br/>
      </w:r>
    </w:p>
    <w:p>
      <w:r>
        <w:rPr>
          <w:rFonts w:ascii="Times New Roman" w:hAnsi="Times New Roman"/>
          <w:sz w:val="20"/>
        </w:rPr>
        <w:br/>
        <w:t>• Facilitated and participated in stakeholder syncs to calibrate quality standards, ensuring project deliverables aligned with evolving business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