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data integration pipelines for CRM and POS systems, utilizing techniques transferable to clinical workflows like EHR (Epic) integration and payer portal data mapping to ensure revenue cycle accuracy.</w:t>
        <w:br/>
      </w:r>
    </w:p>
    <w:p>
      <w:r>
        <w:rPr>
          <w:rFonts w:ascii="Times New Roman" w:hAnsi="Times New Roman"/>
          <w:sz w:val="20"/>
        </w:rPr>
        <w:br/>
        <w:t>• Engineered Python-based reporting models to track operational KPIs, including turnaround times and adherence metrics, ensuring data integrity for high-stakes business and financial performance monitoring.</w:t>
        <w:br/>
      </w:r>
    </w:p>
    <w:p>
      <w:r>
        <w:rPr>
          <w:rFonts w:ascii="Times New Roman" w:hAnsi="Times New Roman"/>
          <w:sz w:val="20"/>
        </w:rPr>
        <w:br/>
        <w:t>• Analyzed complex datasets to identify process bottlenecks, applying root-cause analysis similar to those required for pharmacy inventory management and clinical intervention quality initiatives.</w:t>
        <w:br/>
      </w:r>
    </w:p>
    <w:p>
      <w:r>
        <w:rPr>
          <w:rFonts w:ascii="Times New Roman" w:hAnsi="Times New Roman"/>
          <w:sz w:val="20"/>
        </w:rPr>
        <w:br/>
        <w:t>• Standardized organizational KPIs and data governance frameworks, supporting stakeholders in aligning with industry compliance standards akin to URAC/ACHC specialty pharmacy accreditation requirements.</w:t>
        <w:br/>
      </w:r>
    </w:p>
    <w:p>
      <w:r>
        <w:rPr>
          <w:rFonts w:ascii="Times New Roman" w:hAnsi="Times New Roman"/>
          <w:sz w:val="20"/>
        </w:rPr>
        <w:br/>
        <w:t>• Conducted financial impact modeling and segmentation analysis, enabling leadership to forecast revenue trends and optimize resource allocation across diverse business lines.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