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robust ELT pipelines using Airflow and dbt, incorporating schema design best practices and BigQuery workload tuning to optimize compute costs by 20%.</w:t>
        <w:br/>
      </w:r>
    </w:p>
    <w:p>
      <w:r>
        <w:rPr>
          <w:rFonts w:ascii="Times New Roman" w:hAnsi="Times New Roman"/>
          <w:sz w:val="20"/>
        </w:rPr>
        <w:br/>
        <w:t>• Developed production-grade data pipelines that handle high-volume event data, implementing robust observability and monitoring frameworks to ensure data reliability and latency guarantees.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define and enforce data contracts and ownership boundaries, ensuring canonical model consistency across analytical and operational services.</w:t>
        <w:br/>
      </w:r>
    </w:p>
    <w:p>
      <w:r>
        <w:rPr>
          <w:rFonts w:ascii="Times New Roman" w:hAnsi="Times New Roman"/>
          <w:sz w:val="20"/>
        </w:rPr>
        <w:br/>
        <w:t>• Engineered scalable data transformations by processing large datasets with Python, applying principles of event-driven architecture to ensure data completeness and accuracy.</w:t>
        <w:br/>
      </w:r>
    </w:p>
    <w:p>
      <w:r>
        <w:rPr>
          <w:rFonts w:ascii="Times New Roman" w:hAnsi="Times New Roman"/>
          <w:sz w:val="20"/>
        </w:rPr>
        <w:br/>
        <w:t>• Integrated automated reconciliation workflows into existing CI/CD environments, ensuring production-grade code quality and consistent performance across warehouse and business 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