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Partnered with cross-functional teams to design and evaluate A/B tests for marketing campaigns, utilizing statistical analysis to measure feature performance and drive product iteration.</w:t>
        <w:br/>
      </w:r>
    </w:p>
    <w:p>
      <w:r>
        <w:rPr>
          <w:rFonts w:ascii="Times New Roman" w:hAnsi="Times New Roman"/>
          <w:sz w:val="20"/>
        </w:rPr>
        <w:br/>
        <w:t>• Applied causal inference techniques to model customer churn and conversion metrics, enabling stakeholders to differentiate between correlation and causation in marketplace behavior.</w:t>
        <w:br/>
      </w:r>
    </w:p>
    <w:p>
      <w:r>
        <w:rPr>
          <w:rFonts w:ascii="Times New Roman" w:hAnsi="Times New Roman"/>
          <w:sz w:val="20"/>
        </w:rPr>
        <w:br/>
        <w:t>• Instrumented new product feature tracking and built self-serve analytics tools, reducing dependency on data teams for ad-hoc requests and improving data quality across the product lifecycle.</w:t>
        <w:br/>
      </w:r>
    </w:p>
    <w:p>
      <w:r>
        <w:rPr>
          <w:rFonts w:ascii="Times New Roman" w:hAnsi="Times New Roman"/>
          <w:sz w:val="20"/>
        </w:rPr>
        <w:br/>
        <w:t>• Led project scoping and cross-functional strategy meetings, influencing stakeholders to adopt data-driven roadmaps based on SQL-modeled behavioral cohorts.</w:t>
        <w:br/>
      </w:r>
    </w:p>
    <w:p>
      <w:r>
        <w:rPr>
          <w:rFonts w:ascii="Times New Roman" w:hAnsi="Times New Roman"/>
          <w:sz w:val="20"/>
        </w:rPr>
        <w:br/>
        <w:t>• Optimized data transformation workflows using modular SQL approaches and Python-based logic, effectively bridging the gap between raw data and scalable, production-ready product analytics.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